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hint="eastAsia" w:ascii="Arial" w:hAnsi="Arial" w:eastAsia="宋体" w:cs="Arial"/>
          <w:b/>
          <w:color w:val="auto"/>
          <w:sz w:val="24"/>
          <w:lang w:val="en-US" w:eastAsia="zh-CN"/>
        </w:rPr>
        <w:t>bis</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200586</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pre-configured MG patterns</w:t>
      </w:r>
      <w:bookmarkEnd w:id="0"/>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6.11.2.1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bookmarkStart w:id="8" w:name="_GoBack"/>
      <w:r>
        <w:rPr>
          <w:rFonts w:hint="eastAsia" w:eastAsia="宋体"/>
          <w:color w:val="auto"/>
          <w:sz w:val="24"/>
          <w:lang w:val="en-US" w:eastAsia="zh-CN"/>
        </w:rPr>
        <w:t>Approval</w:t>
      </w:r>
      <w:bookmarkEnd w:id="8"/>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the following agreements on the </w:t>
      </w:r>
      <w:r>
        <w:rPr>
          <w:rFonts w:hint="default" w:eastAsia="宋体"/>
          <w:color w:val="auto"/>
          <w:sz w:val="21"/>
          <w:szCs w:val="21"/>
          <w:lang w:val="en-US" w:eastAsia="zh-CN"/>
        </w:rPr>
        <w:t>pre-configured MG pattern(s)</w:t>
      </w:r>
      <w:r>
        <w:rPr>
          <w:rFonts w:hint="eastAsia" w:eastAsia="宋体"/>
          <w:color w:val="auto"/>
          <w:sz w:val="21"/>
          <w:szCs w:val="21"/>
          <w:lang w:val="en-US" w:eastAsia="zh-CN"/>
        </w:rPr>
        <w:t xml:space="preserve"> were achieved [1]:</w:t>
      </w:r>
      <w:r>
        <w:rPr>
          <w:rFonts w:hint="default" w:eastAsia="宋体"/>
          <w:color w:val="auto"/>
          <w:sz w:val="21"/>
          <w:szCs w:val="21"/>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Whether shall the preconfigured MG for the positioning measurements beyond Rel16  be discussed in this WI?</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preconfigured MG for the positioning measurements beyond Rel16 will NOT be discussed under this WI (MG_enh_core)</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 xml:space="preserve">Using of pre-configured MG for CA </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In this meeting, RAN4 continue focus on the single carrier case and evaluate the additional working efforts to support the CA case with pre-configured MG activation/deactivation based on BWP switching on a single CC</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companies are encouraged to bring the analysis and concrete solutions of pre-MG under CA case with activation/deactivation based on BWP switching on a single CC in R4#101e-b.</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By the end of R4#102e (Feb, 2022), if  the problems on pre-MG under CA case with activation/deactivation based on BWP switching on a single CC can’t be resolved in RAN4, by default they will be deferred to further release.</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rPr>
            </w:pPr>
            <w:bookmarkStart w:id="1" w:name="OLE_LINK5"/>
            <w:r>
              <w:rPr>
                <w:rFonts w:hint="eastAsia" w:ascii="Times New Roman" w:hAnsi="Times New Roman" w:cs="Times New Roman"/>
                <w:b/>
                <w:bCs/>
                <w:color w:val="auto"/>
                <w:sz w:val="20"/>
                <w:szCs w:val="20"/>
                <w:lang w:val="en-US"/>
              </w:rPr>
              <w:t xml:space="preserve">How to indicate the initial status (activation/deactivation) of Pre-MG at or during configuration  </w:t>
            </w:r>
          </w:p>
          <w:bookmarkEnd w:id="1"/>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Besides the per BWP indication, no additional explicit signalling is needed to indicate the initial pre-MG activation/deactivation status at or during pre-MG being configured.  </w:t>
            </w:r>
          </w:p>
          <w:p>
            <w:pPr>
              <w:pStyle w:val="28"/>
              <w:numPr>
                <w:ilvl w:val="1"/>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FFS on initial status (activation/deactivation) of Pre-MG is determined based on the same rules used for autonomous activation/deactivation of Pre-MG.</w:t>
            </w:r>
          </w:p>
          <w:p>
            <w:pPr>
              <w:pStyle w:val="28"/>
              <w:numPr>
                <w:ilvl w:val="0"/>
                <w:numId w:val="0"/>
              </w:numPr>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Switching between pre-configured MG and with the current legacy MG</w:t>
            </w:r>
          </w:p>
          <w:p>
            <w:pPr>
              <w:pStyle w:val="28"/>
              <w:numPr>
                <w:ilvl w:val="0"/>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Given the new MG configuration can override the obsoleted MG, it is unnecessary to add new switch mechanism (other than RRC re-configuration) between pre-MG and legacy MG.</w:t>
            </w:r>
          </w:p>
          <w:p>
            <w:pPr>
              <w:pStyle w:val="28"/>
              <w:numPr>
                <w:ilvl w:val="0"/>
                <w:numId w:val="0"/>
              </w:numPr>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The exact configuration of Pre-MG used for PRS measurement in Rel16</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Pre-MG shall be always activated, if PRS measurement in Rel16 is configured with it. </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FFS on whether and how should UE indicate serving cell about the PRS measurement when pre-MG is used for Rel16 PRS measurement</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The exact configuration of Pre-MG used for CSI-RS measurement</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Pre-MG shall be always activated, if inter-frequency CSI-RS L3 measurements are configured with it. </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 xml:space="preserve">Conditions for pre-MG activation/deactivation </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Additional activation/deactivation conditions are not considered in application to network-controlled pre-MG activation/deactivation.</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Specific conditions can be further handled as a part of discussion on rules of UE autonomous activation/deactivation</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Rules of for UE autonomous Pre-MG activation/deactivation</w:t>
            </w:r>
          </w:p>
          <w:p>
            <w:pPr>
              <w:pStyle w:val="28"/>
              <w:numPr>
                <w:ilvl w:val="0"/>
                <w:numId w:val="0"/>
              </w:numPr>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“Rules of for UE autonomous Pre-MG activation/deactivation shall be: </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And the general applicability rules for measurement gap for SSB, CSI-RS L3, Rel16 PRS in TS38.133</w:t>
            </w:r>
          </w:p>
          <w:p>
            <w:pPr>
              <w:pStyle w:val="28"/>
              <w:numPr>
                <w:ilvl w:val="1"/>
                <w:numId w:val="4"/>
              </w:numPr>
              <w:ind w:left="144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If MG is not required by any of the configured measurements, the MG is deactivated e.g. when.</w:t>
            </w:r>
          </w:p>
          <w:p>
            <w:pPr>
              <w:pStyle w:val="28"/>
              <w:numPr>
                <w:ilvl w:val="2"/>
                <w:numId w:val="4"/>
              </w:numPr>
              <w:ind w:left="216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UE is configured with only SSB measurements, and all the measured SSBs are fully within the BW of the active BWP.</w:t>
            </w:r>
          </w:p>
          <w:p>
            <w:pPr>
              <w:pStyle w:val="28"/>
              <w:numPr>
                <w:ilvl w:val="1"/>
                <w:numId w:val="4"/>
              </w:numPr>
              <w:ind w:left="144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If MG is required by one or more of the configured measurements, the MG is activated e.g. when:</w:t>
            </w:r>
          </w:p>
          <w:p>
            <w:pPr>
              <w:pStyle w:val="28"/>
              <w:numPr>
                <w:ilvl w:val="2"/>
                <w:numId w:val="4"/>
              </w:numPr>
              <w:ind w:left="216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UE is configured with at least CSI-RS measurements or,</w:t>
            </w:r>
          </w:p>
          <w:p>
            <w:pPr>
              <w:pStyle w:val="28"/>
              <w:numPr>
                <w:ilvl w:val="2"/>
                <w:numId w:val="4"/>
              </w:numPr>
              <w:ind w:left="216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UE is configured with at least PRS measurements or ,</w:t>
            </w:r>
          </w:p>
          <w:p>
            <w:pPr>
              <w:pStyle w:val="28"/>
              <w:numPr>
                <w:ilvl w:val="2"/>
                <w:numId w:val="4"/>
              </w:numPr>
              <w:ind w:left="216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UE is configured with only SSB measurements, and one of the measured SSBs is not fully within the BW of the active BWPs or.</w:t>
            </w:r>
          </w:p>
          <w:p>
            <w:pPr>
              <w:pStyle w:val="28"/>
              <w:numPr>
                <w:ilvl w:val="2"/>
                <w:numId w:val="4"/>
              </w:numPr>
              <w:ind w:left="216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UE is configured with at least inter-RAT measurements.</w:t>
            </w:r>
          </w:p>
          <w:p>
            <w:pPr>
              <w:pStyle w:val="28"/>
              <w:numPr>
                <w:ilvl w:val="0"/>
                <w:numId w:val="0"/>
              </w:numPr>
              <w:ind w:left="360" w:left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Notes: Exact way to capture the rules for UE autonomous Pre-MG activation/deactivation can be discussed based on the CR.</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 xml:space="preserve">How pre-configured MGs can be activated/deactivated </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 xml:space="preserve">NW can control activation/deactivation of pre-configured MG for the specific BWP via RRC message ONLY. No additional activation/deactivation mechanism other than RRC-based BWP indication and UE autonomous rule will be introduced in Rel-17. </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highlight w:val="none"/>
                <w:lang w:val="en-US" w:eastAsia="zh-CN"/>
              </w:rPr>
            </w:pPr>
            <w:r>
              <w:rPr>
                <w:rFonts w:hint="eastAsia" w:ascii="Times New Roman" w:hAnsi="Times New Roman" w:cs="Times New Roman"/>
                <w:b/>
                <w:bCs/>
                <w:color w:val="auto"/>
                <w:sz w:val="20"/>
                <w:szCs w:val="20"/>
                <w:highlight w:val="none"/>
                <w:lang w:val="en-US" w:eastAsia="zh-CN"/>
              </w:rPr>
              <w:t xml:space="preserve">Necessity to introduce the autonomous (de)activation criteria  </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The criteria(rules) for pre-MG autonomous (de)activation shall be defined.</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highlight w:val="none"/>
                <w:lang w:val="en-US" w:eastAsia="zh-CN"/>
              </w:rPr>
            </w:pPr>
            <w:r>
              <w:rPr>
                <w:rFonts w:hint="eastAsia" w:ascii="Times New Roman" w:hAnsi="Times New Roman" w:cs="Times New Roman"/>
                <w:b/>
                <w:bCs/>
                <w:color w:val="auto"/>
                <w:sz w:val="20"/>
                <w:szCs w:val="20"/>
                <w:highlight w:val="none"/>
                <w:lang w:val="en-US" w:eastAsia="zh-CN"/>
              </w:rPr>
              <w:t xml:space="preserve">Applicability of different activation/deactivation mechanisms </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Define separate UE capabilities for different pre-MG activation/deactivation mechanisms</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highlight w:val="none"/>
                <w:lang w:val="en-US" w:eastAsia="zh-CN"/>
              </w:rPr>
            </w:pPr>
            <w:r>
              <w:rPr>
                <w:rFonts w:hint="eastAsia" w:ascii="Times New Roman" w:hAnsi="Times New Roman" w:cs="Times New Roman"/>
                <w:b/>
                <w:bCs/>
                <w:color w:val="auto"/>
                <w:sz w:val="20"/>
                <w:szCs w:val="20"/>
                <w:highlight w:val="none"/>
                <w:lang w:val="en-US" w:eastAsia="zh-CN"/>
              </w:rPr>
              <w:t>How can the activation/deactivation status of pre-configured MGs be indicated in case of DC</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 xml:space="preserve">“RAN4 can deprioritize pre-MG for MR-DC in Rel17. If any critical technical issues identified before/in the next meeting, we can revisit it. </w:t>
            </w:r>
            <w:r>
              <w:rPr>
                <w:rFonts w:hint="default" w:ascii="Times New Roman" w:hAnsi="Times New Roman" w:cs="Times New Roman"/>
                <w:color w:val="auto"/>
                <w:kern w:val="0"/>
                <w:sz w:val="21"/>
                <w:szCs w:val="21"/>
                <w:highlight w:val="none"/>
                <w:lang w:val="en-US" w:eastAsia="zh-CN" w:bidi="ar-SA"/>
              </w:rPr>
              <w:t>”</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highlight w:val="none"/>
                <w:lang w:val="en-US" w:eastAsia="zh-CN"/>
              </w:rPr>
            </w:pPr>
            <w:r>
              <w:rPr>
                <w:rFonts w:hint="eastAsia" w:ascii="Times New Roman" w:hAnsi="Times New Roman" w:cs="Times New Roman"/>
                <w:b/>
                <w:bCs/>
                <w:color w:val="auto"/>
                <w:sz w:val="20"/>
                <w:szCs w:val="20"/>
                <w:highlight w:val="none"/>
                <w:lang w:val="en-US" w:eastAsia="zh-CN"/>
              </w:rPr>
              <w:t xml:space="preserve">Start point of Activation/Deactivation Delay </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The pre-MG activation/deactivation delay starts from the time when received BWP switch request if the pre-MG activation/deactivation is triggered by BWP switching.</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highlight w:val="none"/>
                <w:lang w:val="en-US" w:eastAsia="zh-CN"/>
              </w:rPr>
            </w:pPr>
            <w:r>
              <w:rPr>
                <w:rFonts w:hint="eastAsia" w:ascii="Times New Roman" w:hAnsi="Times New Roman" w:cs="Times New Roman"/>
                <w:b/>
                <w:bCs/>
                <w:color w:val="auto"/>
                <w:sz w:val="20"/>
                <w:szCs w:val="20"/>
                <w:highlight w:val="none"/>
                <w:lang w:val="en-US" w:eastAsia="zh-CN"/>
              </w:rPr>
              <w:t xml:space="preserve">The applicable scenario of the measurement period with pre-MG measurements </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The measurement period requirements for pre-MG based measurement can be defined for the scenarios below..</w:t>
            </w:r>
          </w:p>
          <w:p>
            <w:pPr>
              <w:pStyle w:val="28"/>
              <w:numPr>
                <w:ilvl w:val="1"/>
                <w:numId w:val="4"/>
              </w:numPr>
              <w:ind w:left="1440" w:leftChars="0" w:hanging="360"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Case 3: requirements for the measurement with both activated and deactivated pre-MGs</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The measurement period requirements for pre-MG based measurements can be leveraged from the current requirements for gap/gapless measurement defined in TS38.133</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highlight w:val="none"/>
                <w:lang w:val="en-US" w:eastAsia="zh-CN"/>
              </w:rPr>
            </w:pPr>
            <w:r>
              <w:rPr>
                <w:rFonts w:hint="eastAsia" w:ascii="Times New Roman" w:hAnsi="Times New Roman" w:cs="Times New Roman"/>
                <w:b/>
                <w:bCs/>
                <w:color w:val="auto"/>
                <w:sz w:val="20"/>
                <w:szCs w:val="20"/>
                <w:highlight w:val="none"/>
                <w:lang w:val="en-US" w:eastAsia="zh-CN"/>
              </w:rPr>
              <w:t xml:space="preserve">Interruption requirements </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“The gap interruption requirements in TS38.133 only apply when the pre-MG status is ON”</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highlight w:val="none"/>
                <w:lang w:val="en-US" w:eastAsia="zh-CN"/>
              </w:rPr>
            </w:pPr>
            <w:r>
              <w:rPr>
                <w:rFonts w:hint="eastAsia" w:ascii="Times New Roman" w:hAnsi="Times New Roman" w:cs="Times New Roman"/>
                <w:b/>
                <w:bCs/>
                <w:color w:val="auto"/>
                <w:sz w:val="20"/>
                <w:szCs w:val="20"/>
                <w:highlight w:val="none"/>
                <w:lang w:val="en-US" w:eastAsia="zh-CN"/>
              </w:rPr>
              <w:t xml:space="preserve">L1 measurement requirements </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bookmarkStart w:id="2" w:name="OLE_LINK6"/>
            <w:r>
              <w:rPr>
                <w:rFonts w:hint="default" w:ascii="Times New Roman" w:hAnsi="Times New Roman" w:eastAsia="宋体" w:cs="Times New Roman"/>
                <w:color w:val="auto"/>
                <w:kern w:val="0"/>
                <w:sz w:val="21"/>
                <w:szCs w:val="21"/>
                <w:highlight w:val="none"/>
                <w:lang w:val="en-US" w:eastAsia="zh-CN" w:bidi="ar-SA"/>
              </w:rPr>
              <w:t>MG is assumed to be non-overlapped with the RS to be measured if the pre-MG status is OFF</w:t>
            </w:r>
          </w:p>
          <w:bookmarkEnd w:id="2"/>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highlight w:val="none"/>
                <w:lang w:val="en-US" w:eastAsia="zh-CN"/>
              </w:rPr>
            </w:pPr>
            <w:r>
              <w:rPr>
                <w:rFonts w:hint="eastAsia" w:ascii="Times New Roman" w:hAnsi="Times New Roman" w:cs="Times New Roman"/>
                <w:b/>
                <w:bCs/>
                <w:color w:val="auto"/>
                <w:sz w:val="20"/>
                <w:szCs w:val="20"/>
                <w:highlight w:val="none"/>
                <w:lang w:val="en-US" w:eastAsia="zh-CN"/>
              </w:rPr>
              <w:t>UE behavior after deactivation of pre-configured MG</w:t>
            </w:r>
          </w:p>
          <w:p>
            <w:pPr>
              <w:pStyle w:val="28"/>
              <w:numPr>
                <w:ilvl w:val="0"/>
                <w:numId w:val="4"/>
              </w:numPr>
              <w:ind w:firstLineChars="0"/>
              <w:rPr>
                <w:rFonts w:hint="eastAsia" w:eastAsia="Yu Mincho"/>
                <w:highlight w:val="cyan"/>
                <w:lang w:val="en-US" w:eastAsia="zh-CN"/>
              </w:rPr>
            </w:pPr>
            <w:r>
              <w:rPr>
                <w:rFonts w:hint="eastAsia" w:ascii="Times New Roman" w:hAnsi="Times New Roman" w:cs="Times New Roman"/>
                <w:color w:val="auto"/>
                <w:kern w:val="0"/>
                <w:sz w:val="21"/>
                <w:szCs w:val="21"/>
                <w:highlight w:val="none"/>
                <w:lang w:val="en-US" w:eastAsia="zh-CN" w:bidi="ar-SA"/>
              </w:rPr>
              <w:t>Defer the discussion on UE behavior after deactivation of pre-MG to the joint discussion with concurrent MG.</w:t>
            </w:r>
          </w:p>
        </w:tc>
      </w:tr>
    </w:tbl>
    <w:p>
      <w:pPr>
        <w:pStyle w:val="9"/>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There has been prominent progress achieved for most issues until 101 meeting. </w:t>
      </w:r>
      <w:r>
        <w:rPr>
          <w:rFonts w:hint="default" w:eastAsia="宋体"/>
          <w:color w:val="auto"/>
          <w:sz w:val="21"/>
          <w:szCs w:val="21"/>
          <w:lang w:val="en-US" w:eastAsia="zh-CN"/>
        </w:rPr>
        <w:t xml:space="preserve">In this contribution, we provide </w:t>
      </w:r>
      <w:r>
        <w:rPr>
          <w:rFonts w:hint="eastAsia" w:eastAsia="宋体"/>
          <w:color w:val="auto"/>
          <w:sz w:val="21"/>
          <w:szCs w:val="21"/>
          <w:lang w:val="en-US" w:eastAsia="zh-CN"/>
        </w:rPr>
        <w:t>some further discussions on the following remaining open issues.</w:t>
      </w:r>
    </w:p>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Using of pre-configured MG for CA</w:t>
      </w:r>
    </w:p>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default" w:ascii="Times New Roman" w:hAnsi="Times New Roman" w:eastAsia="宋体" w:cs="Times New Roman"/>
          <w:strike w:val="0"/>
          <w:dstrike w:val="0"/>
          <w:color w:val="auto"/>
          <w:sz w:val="20"/>
          <w:szCs w:val="20"/>
          <w:lang w:val="en-US" w:eastAsia="zh-CN" w:bidi="ar-SA"/>
        </w:rPr>
        <w:t>How to indicate the initial status (activation/deactivation) of Pre-MG at or during configuration</w:t>
      </w:r>
    </w:p>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bookmarkStart w:id="3" w:name="OLE_LINK8"/>
      <w:r>
        <w:rPr>
          <w:rFonts w:hint="eastAsia" w:ascii="Times New Roman" w:hAnsi="Times New Roman" w:cs="Times New Roman"/>
          <w:strike w:val="0"/>
          <w:dstrike w:val="0"/>
          <w:color w:val="auto"/>
          <w:sz w:val="20"/>
          <w:szCs w:val="20"/>
          <w:lang w:val="en-US" w:eastAsia="zh-CN" w:bidi="ar-SA"/>
        </w:rPr>
        <w:t>W</w:t>
      </w:r>
      <w:r>
        <w:rPr>
          <w:rFonts w:hint="default" w:ascii="Times New Roman" w:hAnsi="Times New Roman" w:eastAsia="宋体" w:cs="Times New Roman"/>
          <w:strike w:val="0"/>
          <w:dstrike w:val="0"/>
          <w:color w:val="auto"/>
          <w:sz w:val="20"/>
          <w:szCs w:val="20"/>
          <w:lang w:val="en-US" w:eastAsia="zh-CN" w:bidi="ar-SA"/>
        </w:rPr>
        <w:t>hether and how should UE indicate serving cell about the PRS measurement</w:t>
      </w:r>
    </w:p>
    <w:bookmarkEnd w:id="3"/>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default" w:ascii="Times New Roman" w:hAnsi="Times New Roman" w:eastAsia="宋体" w:cs="Times New Roman"/>
          <w:strike w:val="0"/>
          <w:dstrike w:val="0"/>
          <w:color w:val="auto"/>
          <w:sz w:val="20"/>
          <w:szCs w:val="20"/>
          <w:lang w:val="en-US" w:eastAsia="zh-CN" w:bidi="ar-SA"/>
        </w:rPr>
        <w:t>Rules of for UE autonomous Pre-MG activation/deactiv</w:t>
      </w:r>
      <w:r>
        <w:rPr>
          <w:rFonts w:hint="eastAsia" w:ascii="Times New Roman" w:hAnsi="Times New Roman" w:cs="Times New Roman"/>
          <w:strike w:val="0"/>
          <w:dstrike w:val="0"/>
          <w:color w:val="auto"/>
          <w:sz w:val="20"/>
          <w:szCs w:val="20"/>
          <w:lang w:val="en-US" w:eastAsia="zh-CN" w:bidi="ar-SA"/>
        </w:rPr>
        <w:t xml:space="preserve"> </w:t>
      </w:r>
      <w:r>
        <w:rPr>
          <w:rFonts w:hint="default" w:ascii="Times New Roman" w:hAnsi="Times New Roman" w:eastAsia="宋体" w:cs="Times New Roman"/>
          <w:strike w:val="0"/>
          <w:dstrike w:val="0"/>
          <w:color w:val="auto"/>
          <w:sz w:val="20"/>
          <w:szCs w:val="20"/>
          <w:lang w:val="en-US" w:eastAsia="zh-CN" w:bidi="ar-SA"/>
        </w:rPr>
        <w:t>ation</w:t>
      </w:r>
    </w:p>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bookmarkStart w:id="4" w:name="OLE_LINK9"/>
      <w:r>
        <w:rPr>
          <w:rFonts w:hint="default" w:ascii="Times New Roman" w:hAnsi="Times New Roman" w:eastAsia="宋体" w:cs="Times New Roman"/>
          <w:strike w:val="0"/>
          <w:dstrike w:val="0"/>
          <w:color w:val="auto"/>
          <w:sz w:val="20"/>
          <w:szCs w:val="20"/>
          <w:lang w:val="en-US" w:eastAsia="zh-CN" w:bidi="ar-SA"/>
        </w:rPr>
        <w:t>Pre-configured MG activation/deactivation under CA</w:t>
      </w:r>
    </w:p>
    <w:bookmarkEnd w:id="4"/>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bookmarkStart w:id="5" w:name="OLE_LINK10"/>
      <w:r>
        <w:rPr>
          <w:rFonts w:hint="default" w:ascii="Times New Roman" w:hAnsi="Times New Roman" w:eastAsia="宋体" w:cs="Times New Roman"/>
          <w:strike w:val="0"/>
          <w:dstrike w:val="0"/>
          <w:color w:val="auto"/>
          <w:sz w:val="20"/>
          <w:szCs w:val="20"/>
          <w:lang w:val="en-US" w:eastAsia="zh-CN" w:bidi="ar-SA"/>
        </w:rPr>
        <w:t>Measurement period</w:t>
      </w:r>
    </w:p>
    <w:bookmarkEnd w:id="5"/>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2.1 Using of pre-configured MG for CA</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According to the conclusion achieved during 101 meeting, RAN4 continue focus on the single carrier case and evaluate the additional working efforts to support the CA case with pre-configured MG activation/deactivation based on BWP switching on a single CC. Actually comparing the CA case with pre-configured MG activation/deactivation based on BWP switching on a single CC with the single carrier case, we can not find too much extra standardization effort is needed. If limit the scope of pre-configured MG only within single carrier case, which will largely restrict the use case of pre-configured MG, the effect of pre-configured MG can not be brought into full play, since CA case is also a common case for Rel-17 similar as single carrier case. For simplicity, imposing the limitation of applying pre-configured MG for the case of one CC BWP switching, not considering the CA case with multiple CC BWP switching, which can be a suitable scope of pre-configured MG in Rel-17.</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the exact activation/deactivation in CA case, we analysis this in later section. </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bCs/>
          <w:strike w:val="0"/>
          <w:dstrike w:val="0"/>
          <w:color w:val="auto"/>
          <w:sz w:val="21"/>
          <w:szCs w:val="21"/>
          <w:highlight w:val="none"/>
          <w:lang w:val="en-US" w:eastAsia="zh-CN"/>
        </w:rPr>
      </w:pPr>
      <w:bookmarkStart w:id="6" w:name="OLE_LINK12"/>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w:t>
      </w:r>
      <w:bookmarkEnd w:id="6"/>
      <w:r>
        <w:rPr>
          <w:rFonts w:hint="eastAsia" w:eastAsia="宋体"/>
          <w:b/>
          <w:bCs/>
          <w:strike w:val="0"/>
          <w:dstrike w:val="0"/>
          <w:color w:val="auto"/>
          <w:sz w:val="21"/>
          <w:szCs w:val="21"/>
          <w:highlight w:val="none"/>
          <w:lang w:val="en-US" w:eastAsia="zh-CN"/>
        </w:rPr>
        <w:t xml:space="preserve">The scope of pre-configured MG should not preclude CA case in Rel-17. For simplicity, the CA of only one CC BWP switching can be considered. i.e. applying the pre-configured MG for single carrier case and single CC BWP switching case.  </w:t>
      </w: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2.2 How to indicate the initial status (activation/deactivation) of Pre-MG at or during configuration</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Based on the conclusion approved during 100 meeting, in fact, the activation/deactivation mechanism of Pre-MG has split into two procedures:</w:t>
      </w:r>
    </w:p>
    <w:p>
      <w:pPr>
        <w:pStyle w:val="9"/>
        <w:numPr>
          <w:ilvl w:val="0"/>
          <w:numId w:val="6"/>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Procedure 1: NW indicates the activation/deactivation through NW signalling per BWP level. which can be conveyed as NW-controlled pre-MG activation/deactivation.</w:t>
      </w:r>
    </w:p>
    <w:p>
      <w:pPr>
        <w:pStyle w:val="9"/>
        <w:numPr>
          <w:ilvl w:val="0"/>
          <w:numId w:val="6"/>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Procedure 2: Without any NW signalling indication, UE autonomously determine Pre-MG</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s activation/deactivation, based on some criteria. This procedure can realize activation/deactivation Pre-MG dynamically. Which can be conveyed as UE autonomous activation/deactivation. </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the initial status indication, it has been declared that not introduce any additional indication for NW-controlled pre-MG activation/deactivation during 101 meeting. But for UE autonomous activation/deactivation, still FFS.</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UE autonomous activation/deactivation</w:t>
      </w:r>
      <w:r>
        <w:rPr>
          <w:rFonts w:hint="default" w:eastAsia="宋体"/>
          <w:color w:val="auto"/>
          <w:sz w:val="21"/>
          <w:szCs w:val="21"/>
          <w:highlight w:val="none"/>
          <w:lang w:val="en-US" w:eastAsia="zh-CN"/>
        </w:rPr>
        <w:t xml:space="preserve">, once the pre-MG is configured through the RRC signaling, </w:t>
      </w:r>
      <w:r>
        <w:rPr>
          <w:rFonts w:hint="eastAsia" w:eastAsia="宋体"/>
          <w:color w:val="auto"/>
          <w:sz w:val="21"/>
          <w:szCs w:val="21"/>
          <w:highlight w:val="none"/>
          <w:lang w:val="en-US" w:eastAsia="zh-CN"/>
        </w:rPr>
        <w:t xml:space="preserve">we believe </w:t>
      </w:r>
      <w:r>
        <w:rPr>
          <w:rFonts w:hint="default" w:eastAsia="宋体"/>
          <w:color w:val="auto"/>
          <w:sz w:val="21"/>
          <w:szCs w:val="21"/>
          <w:highlight w:val="none"/>
          <w:lang w:val="en-US" w:eastAsia="zh-CN"/>
        </w:rPr>
        <w:t>the UE can determine the activation/deactivation of the pre-MG according to the rule without the need for additional indication initial status.</w:t>
      </w:r>
      <w:r>
        <w:rPr>
          <w:rFonts w:hint="eastAsia" w:eastAsia="宋体"/>
          <w:color w:val="auto"/>
          <w:sz w:val="21"/>
          <w:szCs w:val="21"/>
          <w:highlight w:val="none"/>
          <w:lang w:val="en-US" w:eastAsia="zh-CN"/>
        </w:rPr>
        <w:t xml:space="preserve"> No matter the initial status or the dynamic active/deactive status, UE can always decide autonomously based on the same rule. Therefore, not need any additional initial status indication for UE autonomous activation/deactivation.</w:t>
      </w:r>
    </w:p>
    <w:p>
      <w:pPr>
        <w:rPr>
          <w:rFonts w:hint="default"/>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UE can decide the initial status of a pre-configured MG after the pre-configured MG being configured, not need any additional initial status indication for both NW-controlled pre-MG activation/deactivation and UE autonomous activation/deactivation.</w:t>
      </w:r>
    </w:p>
    <w:p>
      <w:pPr>
        <w:bidi w:val="0"/>
        <w:rPr>
          <w:rFonts w:hint="eastAsia"/>
          <w:lang w:val="en-US" w:eastAsia="zh-CN"/>
        </w:rPr>
      </w:pP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2.3 Whether and how should UE indicate serving cell about the PRS measurement</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During 101 meeting, it has been approved that if the pre-configured MG used for PRS measurement, the pre-configured MG shall be always activated. In our opinion, which is not an efficient solution since in such situation the pre-configured MG should actually degenerate as a legacy MG, losing the flexibility of dynamic on/off. In order to improve such defect, the RRC procedure of Location measurement indication in Rel-16 should be re-used. UE can report its request through Location measurement indication procedure to NW at the start and complete of PRS measurement, since such RRC procedure is already used to indicate that the UE is going to either start or stop location related measurement which requires measurement gaps. So that NW can determine whether configuring a suitable MG or de-configuring a useless MG.</w:t>
      </w:r>
    </w:p>
    <w:p>
      <w:pPr>
        <w:rPr>
          <w:rFonts w:hint="default"/>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3</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existing RRC procedure Location Measurement Indication can indicate the start  or stop of PRS measurement, we do not see the necessity to introduce additional indication for PRS measurement.</w:t>
      </w:r>
    </w:p>
    <w:p>
      <w:pPr>
        <w:bidi w:val="0"/>
        <w:rPr>
          <w:rFonts w:hint="eastAsia"/>
          <w:lang w:val="en-US" w:eastAsia="zh-CN"/>
        </w:rPr>
      </w:pP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2.4 Rules of for UE autonomous Pre-MG activation/deactivation</w:t>
      </w:r>
    </w:p>
    <w:p>
      <w:pPr>
        <w:bidi w:val="0"/>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Between NW-controlled pre-MG activation/deactivation and UE autonomous activation/deactivation, we suggest the latter is more efficient and flexible compared with the former. Based on RAN 2</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 xml:space="preserve">s LS reply to RAN 4[3] approved during the latest RAN2 meeting, similar preference can be seen since RAN2 only agreed on </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Case 4</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 xml:space="preserve">, but still FFS for </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Case 5</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 xml:space="preserve">. </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Case 4</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 xml:space="preserve"> corresponds to UE autonomous activation/deactivation, </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Case 5</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 xml:space="preserve"> corresponds to NW-controlled pre-MG activation/deactivation. The preference of RAN 2 should be noted in our RAN4 group.</w:t>
      </w:r>
    </w:p>
    <w:p>
      <w:pPr>
        <w:bidi w:val="0"/>
        <w:rPr>
          <w:rFonts w:hint="eastAsia"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4</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Comparing with NW-controlled pre-MG activation/deactivation, we believe UE autonomous activation/deactivation is more efficient and flexible.</w:t>
      </w:r>
    </w:p>
    <w:p>
      <w:pPr>
        <w:bidi w:val="0"/>
        <w:rPr>
          <w:rFonts w:hint="eastAsia"/>
          <w:lang w:val="en-US" w:eastAsia="zh-CN"/>
        </w:rPr>
      </w:pPr>
      <w:r>
        <w:rPr>
          <w:rFonts w:hint="eastAsia"/>
          <w:lang w:val="en-US" w:eastAsia="zh-CN"/>
        </w:rPr>
        <w:t>Then we should clarify the specific rule as soon as possible so that the solution of UE autonomous activation/deactivation can be a complete one. The following specific rules were discussed during 101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7"/>
              </w:numPr>
              <w:kinsoku/>
              <w:wordWrap/>
              <w:topLinePunct w:val="0"/>
              <w:bidi w:val="0"/>
              <w:snapToGrid/>
              <w:ind w:left="840" w:leftChars="0" w:hanging="420" w:firstLineChars="0"/>
              <w:rPr>
                <w:rFonts w:hint="default"/>
                <w:highlight w:val="none"/>
                <w:lang w:val="en-US" w:eastAsia="zh-CN"/>
              </w:rPr>
            </w:pPr>
            <w:r>
              <w:rPr>
                <w:rFonts w:hint="default"/>
                <w:highlight w:val="none"/>
                <w:lang w:val="en-US" w:eastAsia="zh-CN"/>
              </w:rPr>
              <w:t xml:space="preserve">“Rules of for UE autonomous Pre-MG activation/deactivation shall be: </w:t>
            </w:r>
          </w:p>
          <w:p>
            <w:pPr>
              <w:pStyle w:val="28"/>
              <w:keepNext w:val="0"/>
              <w:keepLines w:val="0"/>
              <w:pageBreakBefore w:val="0"/>
              <w:widowControl w:val="0"/>
              <w:numPr>
                <w:ilvl w:val="0"/>
                <w:numId w:val="8"/>
              </w:numPr>
              <w:kinsoku/>
              <w:wordWrap/>
              <w:overflowPunct w:val="0"/>
              <w:topLinePunct w:val="0"/>
              <w:autoSpaceDE w:val="0"/>
              <w:autoSpaceDN w:val="0"/>
              <w:bidi w:val="0"/>
              <w:adjustRightInd w:val="0"/>
              <w:snapToGrid/>
              <w:spacing w:after="0"/>
              <w:ind w:left="7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The trigger events that may change the activation status of pre-MG configured to UE include:</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BWP switching</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adding/removing any measurement object(s): FFS</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adding/releasing/changing SCell(s): FFS</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activating/de-activating any Scell(s):FFS</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LPP positioning request: FFS</w:t>
            </w:r>
          </w:p>
          <w:p>
            <w:pPr>
              <w:pStyle w:val="28"/>
              <w:keepNext w:val="0"/>
              <w:keepLines w:val="0"/>
              <w:pageBreakBefore w:val="0"/>
              <w:widowControl w:val="0"/>
              <w:numPr>
                <w:ilvl w:val="0"/>
                <w:numId w:val="8"/>
              </w:numPr>
              <w:kinsoku/>
              <w:wordWrap/>
              <w:overflowPunct w:val="0"/>
              <w:topLinePunct w:val="0"/>
              <w:autoSpaceDE w:val="0"/>
              <w:autoSpaceDN w:val="0"/>
              <w:bidi w:val="0"/>
              <w:adjustRightInd w:val="0"/>
              <w:snapToGrid/>
              <w:spacing w:after="0"/>
              <w:ind w:left="7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And the general applicability rules for measurement gap for SSB, CSI-RS L3, Rel16 PRS in TS38.133</w:t>
            </w:r>
          </w:p>
          <w:p>
            <w:pPr>
              <w:pStyle w:val="28"/>
              <w:keepNext w:val="0"/>
              <w:keepLines w:val="0"/>
              <w:pageBreakBefore w:val="0"/>
              <w:widowControl w:val="0"/>
              <w:numPr>
                <w:ilvl w:val="1"/>
                <w:numId w:val="8"/>
              </w:numPr>
              <w:kinsoku/>
              <w:wordWrap/>
              <w:overflowPunct w:val="0"/>
              <w:topLinePunct w:val="0"/>
              <w:autoSpaceDE w:val="0"/>
              <w:autoSpaceDN w:val="0"/>
              <w:bidi w:val="0"/>
              <w:adjustRightInd w:val="0"/>
              <w:snapToGrid/>
              <w:spacing w:after="0"/>
              <w:ind w:left="126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If MG is not required by any of the configured measurements, the MG is deactivated e.g. when.</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the UE is configured with only SSB measurements, and all the measured SSBs are fully within the BW of the active BWP.</w:t>
            </w:r>
          </w:p>
          <w:p>
            <w:pPr>
              <w:pStyle w:val="28"/>
              <w:keepNext w:val="0"/>
              <w:keepLines w:val="0"/>
              <w:pageBreakBefore w:val="0"/>
              <w:widowControl w:val="0"/>
              <w:numPr>
                <w:ilvl w:val="1"/>
                <w:numId w:val="8"/>
              </w:numPr>
              <w:kinsoku/>
              <w:wordWrap/>
              <w:overflowPunct w:val="0"/>
              <w:topLinePunct w:val="0"/>
              <w:autoSpaceDE w:val="0"/>
              <w:autoSpaceDN w:val="0"/>
              <w:bidi w:val="0"/>
              <w:adjustRightInd w:val="0"/>
              <w:snapToGrid/>
              <w:spacing w:after="0"/>
              <w:ind w:left="126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If MG is required by one or more of the configured measurements, the MG is activated e.g. when:</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the UE is configured with at least CSI-RS measurements or,</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the UE is configured with at least PRS measurements or ,</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ascii="Times New Roman" w:hAnsi="Times New Roman" w:eastAsia="Times New Roman" w:cs="Times New Roman"/>
                <w:kern w:val="0"/>
                <w:sz w:val="20"/>
                <w:szCs w:val="24"/>
                <w:highlight w:val="none"/>
                <w:lang w:val="en-US" w:eastAsia="zh-CN" w:bidi="ar-SA"/>
              </w:rPr>
            </w:pPr>
            <w:r>
              <w:rPr>
                <w:rFonts w:hint="default" w:ascii="Times New Roman" w:hAnsi="Times New Roman" w:eastAsia="Times New Roman" w:cs="Times New Roman"/>
                <w:kern w:val="0"/>
                <w:sz w:val="20"/>
                <w:szCs w:val="24"/>
                <w:highlight w:val="none"/>
                <w:lang w:val="en-US" w:eastAsia="zh-CN" w:bidi="ar-SA"/>
              </w:rPr>
              <w:t>the UE is configured with only SSB measurements, and one of the measured SSBs is not fully within the BW of the active BWPs or.</w:t>
            </w:r>
          </w:p>
          <w:p>
            <w:pPr>
              <w:pStyle w:val="28"/>
              <w:keepNext w:val="0"/>
              <w:keepLines w:val="0"/>
              <w:pageBreakBefore w:val="0"/>
              <w:widowControl w:val="0"/>
              <w:numPr>
                <w:ilvl w:val="2"/>
                <w:numId w:val="8"/>
              </w:numPr>
              <w:kinsoku/>
              <w:wordWrap/>
              <w:overflowPunct w:val="0"/>
              <w:topLinePunct w:val="0"/>
              <w:autoSpaceDE w:val="0"/>
              <w:autoSpaceDN w:val="0"/>
              <w:bidi w:val="0"/>
              <w:adjustRightInd w:val="0"/>
              <w:snapToGrid/>
              <w:spacing w:after="0"/>
              <w:ind w:left="1680" w:leftChars="0" w:firstLineChars="0"/>
              <w:textAlignment w:val="baseline"/>
              <w:rPr>
                <w:rFonts w:hint="default"/>
                <w:vertAlign w:val="baseline"/>
                <w:lang w:val="en-US" w:eastAsia="zh-CN"/>
              </w:rPr>
            </w:pPr>
            <w:r>
              <w:rPr>
                <w:rFonts w:hint="default" w:ascii="Times New Roman" w:hAnsi="Times New Roman" w:eastAsia="Times New Roman" w:cs="Times New Roman"/>
                <w:kern w:val="0"/>
                <w:sz w:val="20"/>
                <w:szCs w:val="24"/>
                <w:highlight w:val="none"/>
                <w:lang w:val="en-US" w:eastAsia="zh-CN" w:bidi="ar-SA"/>
              </w:rPr>
              <w:t>the UE is configured with at least inter-RAT measurements.</w:t>
            </w:r>
          </w:p>
        </w:tc>
      </w:tr>
    </w:tbl>
    <w:p>
      <w:pPr>
        <w:bidi w:val="0"/>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For the trigger events, only the 1st one approved during 101 meeting, all others are still FFS. Some company argued that all the others are NW configuration, so should not be seen as trigger events for UE autonomous solution. In our opinion, for the 2nd, 3rd, 4th, they are really NW configuration, but all these NW configurations may lead to change of active BWP or change of target SSB</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s frequency range, all these changes would request the activation/deactivation status</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 xml:space="preserve"> switch. For the 5th one, which may update the PRS measurement request, of course would affect the activation/deactivation of pre-configured MG. </w:t>
      </w:r>
    </w:p>
    <w:p>
      <w:pPr>
        <w:bidi w:val="0"/>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Therefore, we suggest each sub-bullets should be considered as the trigger event for UE autonomous activation/deactivation solution.</w:t>
      </w:r>
    </w:p>
    <w:p>
      <w:pPr>
        <w:bidi w:val="0"/>
        <w:jc w:val="both"/>
        <w:rPr>
          <w:rFonts w:hint="default"/>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5</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Each sub-bullets should be considered as the trigger event for UE autonomous activation/deactivation solution, so all the FFS can be removed.</w:t>
      </w: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2.5 Pre-configured MG activation/deactivation under CA</w:t>
      </w:r>
    </w:p>
    <w:p>
      <w:pPr>
        <w:bidi w:val="0"/>
        <w:rPr>
          <w:rFonts w:hint="eastAsia" w:eastAsia="宋体" w:cs="Times New Roman"/>
          <w:color w:val="auto"/>
          <w:sz w:val="21"/>
          <w:szCs w:val="21"/>
          <w:highlight w:val="none"/>
          <w:lang w:val="en-US" w:eastAsia="zh-CN" w:bidi="ar-SA"/>
        </w:rPr>
      </w:pPr>
      <w:r>
        <w:rPr>
          <w:rFonts w:hint="eastAsia" w:eastAsia="宋体"/>
          <w:color w:val="auto"/>
          <w:sz w:val="21"/>
          <w:szCs w:val="21"/>
          <w:highlight w:val="none"/>
          <w:lang w:val="en-US" w:eastAsia="zh-CN"/>
        </w:rPr>
        <w:t xml:space="preserve">As we suggested in section 2.1, applying pre-configured MG under CA case should not be excluded. So for the detailed activation/deactivation under CA, which should be studied. We can analysis this for </w:t>
      </w:r>
      <w:r>
        <w:rPr>
          <w:rFonts w:hint="eastAsia" w:ascii="Times New Roman" w:hAnsi="Times New Roman" w:eastAsia="宋体" w:cs="Times New Roman"/>
          <w:color w:val="auto"/>
          <w:sz w:val="21"/>
          <w:szCs w:val="21"/>
          <w:highlight w:val="none"/>
          <w:lang w:val="en-US" w:eastAsia="zh-CN" w:bidi="ar-SA"/>
        </w:rPr>
        <w:t xml:space="preserve">NW-controlled pre-MG activation/deactivation </w:t>
      </w:r>
      <w:r>
        <w:rPr>
          <w:rFonts w:hint="eastAsia" w:eastAsia="宋体" w:cs="Times New Roman"/>
          <w:color w:val="auto"/>
          <w:sz w:val="21"/>
          <w:szCs w:val="21"/>
          <w:highlight w:val="none"/>
          <w:lang w:val="en-US" w:eastAsia="zh-CN" w:bidi="ar-SA"/>
        </w:rPr>
        <w:t xml:space="preserve">solution </w:t>
      </w:r>
      <w:r>
        <w:rPr>
          <w:rFonts w:hint="eastAsia" w:ascii="Times New Roman" w:hAnsi="Times New Roman" w:eastAsia="宋体" w:cs="Times New Roman"/>
          <w:color w:val="auto"/>
          <w:sz w:val="21"/>
          <w:szCs w:val="21"/>
          <w:highlight w:val="none"/>
          <w:lang w:val="en-US" w:eastAsia="zh-CN" w:bidi="ar-SA"/>
        </w:rPr>
        <w:t>and UE autonomous activation/deactivation</w:t>
      </w:r>
      <w:r>
        <w:rPr>
          <w:rFonts w:hint="eastAsia" w:eastAsia="宋体" w:cs="Times New Roman"/>
          <w:color w:val="auto"/>
          <w:sz w:val="21"/>
          <w:szCs w:val="21"/>
          <w:highlight w:val="none"/>
          <w:lang w:val="en-US" w:eastAsia="zh-CN" w:bidi="ar-SA"/>
        </w:rPr>
        <w:t xml:space="preserve"> solution respectively.</w:t>
      </w:r>
    </w:p>
    <w:p>
      <w:pPr>
        <w:bidi w:val="0"/>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For UE autonomous activation/deactivation under CA, the following principles proposed during 101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9"/>
              </w:numPr>
              <w:ind w:left="840" w:leftChars="0" w:hanging="420" w:firstLineChars="0"/>
              <w:rPr>
                <w:rFonts w:hint="eastAsia"/>
                <w:highlight w:val="none"/>
                <w:lang w:val="en-US" w:eastAsia="zh-CN"/>
              </w:rPr>
            </w:pPr>
            <w:r>
              <w:rPr>
                <w:rFonts w:hint="eastAsia"/>
                <w:highlight w:val="none"/>
                <w:lang w:val="en-US" w:eastAsia="zh-CN"/>
              </w:rPr>
              <w:t xml:space="preserve">FFS on the following principles: </w:t>
            </w:r>
          </w:p>
          <w:p>
            <w:pPr>
              <w:pStyle w:val="28"/>
              <w:numPr>
                <w:ilvl w:val="0"/>
                <w:numId w:val="10"/>
              </w:numPr>
              <w:ind w:left="600" w:leftChars="0"/>
              <w:rPr>
                <w:rFonts w:hint="eastAsia" w:ascii="Times New Roman" w:hAnsi="Times New Roman" w:eastAsia="Times New Roman" w:cs="Times New Roman"/>
                <w:kern w:val="0"/>
                <w:sz w:val="20"/>
                <w:szCs w:val="24"/>
                <w:highlight w:val="none"/>
                <w:lang w:val="en-US" w:eastAsia="zh-CN" w:bidi="ar-SA"/>
              </w:rPr>
            </w:pPr>
            <w:r>
              <w:rPr>
                <w:rFonts w:hint="eastAsia" w:ascii="Times New Roman" w:hAnsi="Times New Roman" w:eastAsia="Times New Roman" w:cs="Times New Roman"/>
                <w:kern w:val="0"/>
                <w:sz w:val="20"/>
                <w:szCs w:val="24"/>
                <w:highlight w:val="none"/>
                <w:lang w:val="en-US" w:eastAsia="zh-CN" w:bidi="ar-SA"/>
              </w:rPr>
              <w:t xml:space="preserve">When configured with per-UE gap, UE should assume the gap is ON as long as the pre-MG status of active DL BWP in one of the CCs is ON, and assume the gap is OFF only if the pre-MG status of active DL BWP in all CCs are OFF. </w:t>
            </w:r>
          </w:p>
          <w:p>
            <w:pPr>
              <w:pStyle w:val="28"/>
              <w:numPr>
                <w:ilvl w:val="0"/>
                <w:numId w:val="10"/>
              </w:numPr>
              <w:ind w:left="600" w:leftChars="0"/>
              <w:rPr>
                <w:rFonts w:hint="eastAsia" w:eastAsia="宋体" w:cs="Times New Roman"/>
                <w:color w:val="auto"/>
                <w:sz w:val="21"/>
                <w:szCs w:val="21"/>
                <w:highlight w:val="none"/>
                <w:vertAlign w:val="baseline"/>
                <w:lang w:val="en-US" w:eastAsia="zh-CN" w:bidi="ar-SA"/>
              </w:rPr>
            </w:pPr>
            <w:r>
              <w:rPr>
                <w:rFonts w:hint="eastAsia" w:ascii="Times New Roman" w:hAnsi="Times New Roman" w:eastAsia="Times New Roman" w:cs="Times New Roman"/>
                <w:kern w:val="0"/>
                <w:sz w:val="20"/>
                <w:szCs w:val="24"/>
                <w:highlight w:val="none"/>
                <w:lang w:val="en-US" w:eastAsia="zh-CN" w:bidi="ar-SA"/>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tc>
      </w:tr>
    </w:tbl>
    <w:p>
      <w:pPr>
        <w:bidi w:val="0"/>
        <w:jc w:val="both"/>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With such principles, UE can autonomously determine the activation/deactivation under CA case, no matter only one CC BWP switching happening or multiple CC BWP switching happening. The effect of these principles is that once the pre-MG is requested by at least one CC, then the pre-MG should be active. Nevertheless, only when all CC do not need the help of pre-MG, then the pre-MG can be inactive. So, we believe the above principles can be applied for the UE autonomous activation/deactivation under CA.</w:t>
      </w:r>
    </w:p>
    <w:p>
      <w:pPr>
        <w:bidi w:val="0"/>
        <w:jc w:val="both"/>
        <w:rPr>
          <w:rFonts w:hint="default" w:eastAsia="宋体" w:cs="Times New Roman"/>
          <w:color w:val="auto"/>
          <w:sz w:val="21"/>
          <w:szCs w:val="21"/>
          <w:highlight w:val="none"/>
          <w:lang w:val="en-US" w:eastAsia="zh-CN" w:bidi="ar-SA"/>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6</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above principles can be applied for the UE autonomous activation/deactivation under CA.</w:t>
      </w:r>
    </w:p>
    <w:p>
      <w:pPr>
        <w:bidi w:val="0"/>
        <w:jc w:val="both"/>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 xml:space="preserve">Further more, the above principle is only applicable to UE autonomous activation/deactivation under CA, not applicable to NW-controlled pre-MG activation/deactivation under CA, since it violate the NW indication principle. </w:t>
      </w:r>
    </w:p>
    <w:p>
      <w:pPr>
        <w:bidi w:val="0"/>
        <w:jc w:val="both"/>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 xml:space="preserve">Then for NW-controlled pre-MG activation/deactivation, no matter the single carrier case or CA case, the activation/deactivation can only rely on NW indication. But for CA case, it is hard to indicate the activation/deactivation per BWP level. In CA, it is not enough to consider whether a single active BWP can totally cover the target SSB in frequency domain. </w:t>
      </w:r>
      <w:bookmarkStart w:id="7" w:name="OLE_LINK13"/>
      <w:r>
        <w:rPr>
          <w:rFonts w:hint="eastAsia" w:eastAsia="宋体" w:cs="Times New Roman"/>
          <w:color w:val="auto"/>
          <w:sz w:val="21"/>
          <w:szCs w:val="21"/>
          <w:highlight w:val="none"/>
          <w:lang w:val="en-US" w:eastAsia="zh-CN" w:bidi="ar-SA"/>
        </w:rPr>
        <w:t>It is necessary to consider whether all active BWPs in various BWP combinations can totally cover target SSB in frequency domain.</w:t>
      </w:r>
      <w:bookmarkEnd w:id="7"/>
      <w:r>
        <w:rPr>
          <w:rFonts w:hint="eastAsia" w:eastAsia="宋体" w:cs="Times New Roman"/>
          <w:color w:val="auto"/>
          <w:sz w:val="21"/>
          <w:szCs w:val="21"/>
          <w:highlight w:val="none"/>
          <w:lang w:val="en-US" w:eastAsia="zh-CN" w:bidi="ar-SA"/>
        </w:rPr>
        <w:t xml:space="preserve"> Take 2 carriers CA as an example, if each carrier has 4 BWPs, the 4-bit per BWP indication under the single carrier will be OK, but for the CA case, 8-bit is far from enough. When determining the indication of BWP 1 in carrier 1, all possible combinations between BWP 1 in carrier 1 and the four BWPs in carrier 2 should be considered. If carrier 1 is PCell, then carrier 2 is deactive should also be considered. So the indication for PCell, as much as 5^4 possibilities should be considered. And the indication for SCell, there are totally 4^4 should be considered. It is obviously 8-bit is far from enough. Therefore, the per BWP indication for single CC case can not be directly extend to CA case by BWP number in CC1+BWP number in CC2. If we have no choice to use per BWP indication under CA, then each bit just means whether pre-MG is active or inactive for the case of only considering this CC itself, not considering the active BWP in other CCs. So UE should determine the status of pre-MG not only according to the per BWP indication but also according to the above two principles.  </w:t>
      </w:r>
    </w:p>
    <w:p>
      <w:pPr>
        <w:bidi w:val="0"/>
        <w:jc w:val="both"/>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7</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NW-controlled pre-MG activation/deactivation, the per BWP indication solution for single CC case can not be directly extend to CA case. Since It is necessary to consider whether all active BWPs in various BWP combinations can totally cover target SSB in frequency domain.</w:t>
      </w: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2.6 Measurement period</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measurement period, an important reason for discussing measurement period is the existence of transition between activation/deactivation of pre-MG. For the case of transition between with gap and without gap, the minimum requirement has been provided in the section of 9.1.6 of Rel-15[2]. Which can be a reference for our analysis here. </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In Rel-15/16, once the gap is configured, it is always valid before reconfiguraion. Therefore, even the executing of measurement no longer needs the help of gap since the active BWP can fully contain the SSB in frequency domain, the gap still exists and scheduling restriction still exists. With the active BWP switch, actually UE can perform the SSB measurement no longer with the help of gap. </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the measurement that can be performed with the help of gap, UE can perform the measurement only on the overlapping opportunities between SMTC configuration and gap configuration. However for measurement without gap, UE can perform measurement during each SSB opportunity determined by SMTC configuration. So when the switch between measurement with gap and without gap happens, the measurement period should be the larger one between the two periods, so as to ensure the measurement accuracy would not be affected by the decrease of the measurement samples.  </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But for the transition of Pre-MG activation/deactivation, the transition delay should also be considered. It has been declared in 100 meeting, such transition delay should be larger than BWP switch delay, but considering the happening of BWP switch is uncertain, so the duration of pre-MG activation/deactivation delay maybe conflict with a measurement opportunity in time domain, for the conflicted measurement opportunity, UE can not perform measurement, so as to avoid the deterioration of measurement accuracy by the reduction of measurement sample, the measurement period should be extended backward. </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In conclusion, the measurement period for pre-MG should be max{measurement period without gap, measurement period with gap}+ transition delay if transition happens.</w:t>
      </w:r>
    </w:p>
    <w:p>
      <w:pPr>
        <w:rPr>
          <w:rFonts w:hint="eastAsia"/>
          <w:strike w:val="0"/>
          <w:dstrike w:val="0"/>
          <w:color w:val="auto"/>
          <w:sz w:val="28"/>
          <w:szCs w:val="28"/>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8</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measurement period for pre-MG should be max{measurement period without gap, measurement period with gap}+ transition delay if transition happens.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xml:space="preserve">, we have the following proposals </w:t>
      </w:r>
      <w:r>
        <w:rPr>
          <w:rFonts w:hint="eastAsia" w:eastAsia="宋体"/>
          <w:bCs/>
          <w:color w:val="auto"/>
          <w:sz w:val="21"/>
          <w:szCs w:val="21"/>
          <w:lang w:val="en-US" w:eastAsia="zh-CN"/>
        </w:rPr>
        <w:t xml:space="preserve">and observations </w:t>
      </w:r>
      <w:r>
        <w:rPr>
          <w:rFonts w:eastAsia="宋体"/>
          <w:bCs/>
          <w:color w:val="auto"/>
          <w:sz w:val="21"/>
          <w:szCs w:val="21"/>
          <w:lang w:val="en-GB" w:eastAsia="zh-CN"/>
        </w:rPr>
        <w:t xml:space="preserve">for </w:t>
      </w:r>
      <w:r>
        <w:rPr>
          <w:rFonts w:hint="eastAsia" w:eastAsia="宋体"/>
          <w:bCs/>
          <w:color w:val="auto"/>
          <w:sz w:val="21"/>
          <w:szCs w:val="21"/>
          <w:lang w:val="en-US" w:eastAsia="zh-CN"/>
        </w:rPr>
        <w:t>pre-configured MG patterns</w:t>
      </w:r>
      <w:r>
        <w:rPr>
          <w:rFonts w:eastAsia="宋体"/>
          <w:bCs/>
          <w:color w:val="auto"/>
          <w:sz w:val="21"/>
          <w:szCs w:val="21"/>
          <w:lang w:val="en-GB" w:eastAsia="zh-CN"/>
        </w:rPr>
        <w:t>:</w:t>
      </w:r>
    </w:p>
    <w:p>
      <w:pPr>
        <w:pStyle w:val="9"/>
        <w:tabs>
          <w:tab w:val="left" w:pos="226"/>
          <w:tab w:val="left" w:pos="284"/>
          <w:tab w:val="left" w:pos="5103"/>
        </w:tabs>
        <w:snapToGrid w:val="0"/>
        <w:rPr>
          <w:rFonts w:eastAsia="宋体"/>
          <w:bCs/>
          <w:color w:val="auto"/>
          <w:sz w:val="21"/>
          <w:szCs w:val="21"/>
          <w:lang w:val="en-GB" w:eastAsia="zh-CN"/>
        </w:rPr>
      </w:pPr>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The scope of pre-configured MG should not preclude CA case in Rel-17. For simplicity, the CA of only one CC BWP switching can be considered. i.e. applying the pre-configured MG for single carrier case and single CC BWP switching case.  </w:t>
      </w:r>
    </w:p>
    <w:p>
      <w:pPr>
        <w:pStyle w:val="9"/>
        <w:rPr>
          <w:rFonts w:hint="eastAsia"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 UE can decide the initial status of a pre-configured MG after the pre-configured MG being configured, not need any additional initial status indication for both NW-controlled pre-MG activation/deactivation and UE autonomous activation/deactivation.</w:t>
      </w:r>
    </w:p>
    <w:p>
      <w:pPr>
        <w:pStyle w:val="9"/>
        <w:rPr>
          <w:rFonts w:hint="default"/>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3</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existing RRC procedure Location Measurement Indication can indicate the start  or stop of PRS measurement, we do not see the necessity to introduce additional indication for PRS measurement.</w:t>
      </w:r>
    </w:p>
    <w:p>
      <w:pPr>
        <w:pStyle w:val="9"/>
        <w:tabs>
          <w:tab w:val="left" w:pos="226"/>
          <w:tab w:val="left" w:pos="284"/>
          <w:tab w:val="left" w:pos="5103"/>
        </w:tabs>
        <w:snapToGrid w:val="0"/>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4</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omparing with NW-controlled pre-MG activation/deactivation, we believe UE autonomous activation/deactivation is more efficient and flexible.</w:t>
      </w:r>
    </w:p>
    <w:p>
      <w:pPr>
        <w:pStyle w:val="9"/>
        <w:tabs>
          <w:tab w:val="left" w:pos="226"/>
          <w:tab w:val="left" w:pos="284"/>
          <w:tab w:val="left" w:pos="5103"/>
        </w:tabs>
        <w:snapToGrid w:val="0"/>
        <w:rPr>
          <w:rFonts w:hint="eastAsia" w:eastAsia="宋体"/>
          <w:b/>
          <w:bCs/>
          <w:strike w:val="0"/>
          <w:dstrike w:val="0"/>
          <w:color w:val="auto"/>
          <w:sz w:val="21"/>
          <w:szCs w:val="21"/>
          <w:highlight w:val="none"/>
          <w:lang w:val="en-US" w:eastAsia="zh-CN"/>
        </w:rPr>
      </w:pPr>
      <w:r>
        <w:rPr>
          <w:rFonts w:hint="eastAsia" w:eastAsia="宋体"/>
          <w:b/>
          <w:bCs/>
          <w:strike w:val="0"/>
          <w:dstrike w:val="0"/>
          <w:color w:val="auto"/>
          <w:sz w:val="21"/>
          <w:szCs w:val="21"/>
          <w:highlight w:val="none"/>
          <w:lang w:val="en-US" w:eastAsia="zh-CN"/>
        </w:rPr>
        <w:t>Proposal 5: Each sub-bullets should be considered as the trigger event for UE autonomous activation/deactivation solution, so all the FFS can be removed.</w:t>
      </w:r>
    </w:p>
    <w:p>
      <w:pPr>
        <w:pStyle w:val="9"/>
        <w:tabs>
          <w:tab w:val="left" w:pos="226"/>
          <w:tab w:val="left" w:pos="284"/>
          <w:tab w:val="left" w:pos="5103"/>
        </w:tabs>
        <w:snapToGrid w:val="0"/>
        <w:rPr>
          <w:rFonts w:hint="eastAsia"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6</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above principles can be applied for the UE autonomous activation/deactivation under CA.</w:t>
      </w:r>
    </w:p>
    <w:p>
      <w:pPr>
        <w:pStyle w:val="9"/>
        <w:tabs>
          <w:tab w:val="left" w:pos="226"/>
          <w:tab w:val="left" w:pos="284"/>
          <w:tab w:val="left" w:pos="5103"/>
        </w:tabs>
        <w:snapToGrid w:val="0"/>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7</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NW-controlled pre-MG activation/deactivation, the per BWP indication solution for single CC case can not be directly extend to CA case. Since It is necessary to consider whether all active BWPs in various BWP combinations can totally cover target SSB in frequency domain.</w:t>
      </w:r>
    </w:p>
    <w:p>
      <w:pPr>
        <w:pStyle w:val="9"/>
        <w:tabs>
          <w:tab w:val="left" w:pos="226"/>
          <w:tab w:val="left" w:pos="284"/>
          <w:tab w:val="left" w:pos="5103"/>
        </w:tabs>
        <w:snapToGrid w:val="0"/>
        <w:rPr>
          <w:rFonts w:hint="eastAsia" w:eastAsia="宋体"/>
          <w:b/>
          <w:bCs/>
          <w:strike w:val="0"/>
          <w:dstrike w:val="0"/>
          <w:color w:val="auto"/>
          <w:sz w:val="21"/>
          <w:szCs w:val="21"/>
          <w:highlight w:val="none"/>
          <w:lang w:val="en-GB"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8</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measurement period for pre-MG should be max{measurement period without gap, measurement period with gap}+ transition delay if transition happens.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rPr>
          <w:rFonts w:hint="default" w:eastAsia="宋体"/>
          <w:color w:val="auto"/>
          <w:lang w:val="en-US" w:eastAsia="zh-CN"/>
        </w:rPr>
      </w:pPr>
      <w:r>
        <w:rPr>
          <w:color w:val="auto"/>
        </w:rPr>
        <w:t>R</w:t>
      </w:r>
      <w:r>
        <w:rPr>
          <w:rFonts w:hint="eastAsia"/>
          <w:color w:val="auto"/>
          <w:lang w:val="en-US" w:eastAsia="zh-CN"/>
        </w:rPr>
        <w:t>4-2120301</w:t>
      </w:r>
      <w:r>
        <w:rPr>
          <w:color w:val="auto"/>
        </w:rPr>
        <w:t xml:space="preserve">, </w:t>
      </w:r>
      <w:r>
        <w:rPr>
          <w:rFonts w:hint="default"/>
          <w:color w:val="auto"/>
          <w:lang w:val="en-US" w:eastAsia="zh-CN"/>
        </w:rPr>
        <w:t>“</w:t>
      </w:r>
      <w:r>
        <w:rPr>
          <w:rFonts w:hint="eastAsia"/>
          <w:color w:val="auto"/>
          <w:lang w:val="en-US" w:eastAsia="zh-CN"/>
        </w:rPr>
        <w:t>WF on R17 NR MG enhancements–Pre-configured MG</w:t>
      </w:r>
      <w:r>
        <w:rPr>
          <w:rFonts w:hint="default"/>
          <w:color w:val="auto"/>
          <w:lang w:val="en-US" w:eastAsia="zh-CN"/>
        </w:rPr>
        <w:t>”</w:t>
      </w:r>
      <w:r>
        <w:rPr>
          <w:rFonts w:hint="eastAsia"/>
          <w:color w:val="auto"/>
          <w:lang w:val="en-US" w:eastAsia="zh-CN"/>
        </w:rPr>
        <w:t>, Intel.</w:t>
      </w:r>
    </w:p>
    <w:p>
      <w:pPr>
        <w:pStyle w:val="10"/>
        <w:rPr>
          <w:rFonts w:hint="default" w:eastAsia="宋体"/>
          <w:color w:val="auto"/>
          <w:lang w:val="en-US" w:eastAsia="zh-CN"/>
        </w:rPr>
      </w:pPr>
      <w:r>
        <w:rPr>
          <w:rFonts w:hint="eastAsia"/>
          <w:color w:val="auto"/>
          <w:lang w:val="en-US" w:eastAsia="zh-CN"/>
        </w:rPr>
        <w:t>TS 38.133-h20</w:t>
      </w:r>
    </w:p>
    <w:p>
      <w:pPr>
        <w:pStyle w:val="10"/>
        <w:rPr>
          <w:rFonts w:hint="default" w:eastAsia="宋体"/>
          <w:color w:val="auto"/>
          <w:lang w:val="en-US" w:eastAsia="zh-CN"/>
        </w:rPr>
      </w:pPr>
      <w:r>
        <w:rPr>
          <w:rFonts w:hint="eastAsia"/>
          <w:color w:val="auto"/>
          <w:lang w:val="en-US" w:eastAsia="zh-CN"/>
        </w:rPr>
        <w:t xml:space="preserve">R2-2111601, </w:t>
      </w:r>
      <w:r>
        <w:rPr>
          <w:rFonts w:hint="default"/>
          <w:color w:val="auto"/>
          <w:lang w:val="en-US" w:eastAsia="zh-CN"/>
        </w:rPr>
        <w:t>“Reply LS on Pre-configured MG”</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B64E53"/>
    <w:multiLevelType w:val="singleLevel"/>
    <w:tmpl w:val="9CB64E53"/>
    <w:lvl w:ilvl="0" w:tentative="0">
      <w:start w:val="1"/>
      <w:numFmt w:val="bullet"/>
      <w:lvlText w:val=""/>
      <w:lvlJc w:val="left"/>
      <w:pPr>
        <w:ind w:left="420" w:hanging="420"/>
      </w:pPr>
      <w:rPr>
        <w:rFonts w:hint="default" w:ascii="Wingdings" w:hAnsi="Wingdings"/>
      </w:rPr>
    </w:lvl>
  </w:abstractNum>
  <w:abstractNum w:abstractNumId="1">
    <w:nsid w:val="E0558015"/>
    <w:multiLevelType w:val="multilevel"/>
    <w:tmpl w:val="E055801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53140F1"/>
    <w:multiLevelType w:val="multilevel"/>
    <w:tmpl w:val="253140F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微软雅黑" w:hAnsi="微软雅黑"/>
      </w:rPr>
    </w:lvl>
    <w:lvl w:ilvl="2" w:tentative="0">
      <w:start w:val="1"/>
      <w:numFmt w:val="bullet"/>
      <w:lvlText w:val=""/>
      <w:lvlJc w:val="left"/>
      <w:pPr>
        <w:tabs>
          <w:tab w:val="left" w:pos="1260"/>
        </w:tabs>
        <w:ind w:left="1680" w:leftChars="0" w:hanging="420" w:firstLineChars="0"/>
      </w:pPr>
      <w:rPr>
        <w:rFonts w:hint="default" w:ascii="微软雅黑" w:hAnsi="微软雅黑"/>
      </w:rPr>
    </w:lvl>
    <w:lvl w:ilvl="3" w:tentative="0">
      <w:start w:val="1"/>
      <w:numFmt w:val="bullet"/>
      <w:lvlText w:val=""/>
      <w:lvlJc w:val="left"/>
      <w:pPr>
        <w:tabs>
          <w:tab w:val="left" w:pos="1680"/>
        </w:tabs>
        <w:ind w:left="2100" w:leftChars="0" w:hanging="420" w:firstLineChars="0"/>
      </w:pPr>
      <w:rPr>
        <w:rFonts w:hint="default" w:ascii="微软雅黑" w:hAnsi="微软雅黑"/>
      </w:rPr>
    </w:lvl>
    <w:lvl w:ilvl="4" w:tentative="0">
      <w:start w:val="1"/>
      <w:numFmt w:val="bullet"/>
      <w:lvlText w:val=""/>
      <w:lvlJc w:val="left"/>
      <w:pPr>
        <w:tabs>
          <w:tab w:val="left" w:pos="2100"/>
        </w:tabs>
        <w:ind w:left="2520" w:leftChars="0" w:hanging="420" w:firstLineChars="0"/>
      </w:pPr>
      <w:rPr>
        <w:rFonts w:hint="default" w:ascii="微软雅黑" w:hAnsi="微软雅黑"/>
      </w:rPr>
    </w:lvl>
    <w:lvl w:ilvl="5" w:tentative="0">
      <w:start w:val="1"/>
      <w:numFmt w:val="bullet"/>
      <w:lvlText w:val=""/>
      <w:lvlJc w:val="left"/>
      <w:pPr>
        <w:tabs>
          <w:tab w:val="left" w:pos="2520"/>
        </w:tabs>
        <w:ind w:left="2940" w:leftChars="0" w:hanging="420" w:firstLineChars="0"/>
      </w:pPr>
      <w:rPr>
        <w:rFonts w:hint="default" w:ascii="微软雅黑" w:hAnsi="微软雅黑"/>
      </w:rPr>
    </w:lvl>
    <w:lvl w:ilvl="6" w:tentative="0">
      <w:start w:val="1"/>
      <w:numFmt w:val="bullet"/>
      <w:lvlText w:val=""/>
      <w:lvlJc w:val="left"/>
      <w:pPr>
        <w:tabs>
          <w:tab w:val="left" w:pos="2940"/>
        </w:tabs>
        <w:ind w:left="3360" w:leftChars="0" w:hanging="420" w:firstLineChars="0"/>
      </w:pPr>
      <w:rPr>
        <w:rFonts w:hint="default" w:ascii="微软雅黑" w:hAnsi="微软雅黑"/>
      </w:rPr>
    </w:lvl>
    <w:lvl w:ilvl="7" w:tentative="0">
      <w:start w:val="1"/>
      <w:numFmt w:val="bullet"/>
      <w:lvlText w:val=""/>
      <w:lvlJc w:val="left"/>
      <w:pPr>
        <w:tabs>
          <w:tab w:val="left" w:pos="3360"/>
        </w:tabs>
        <w:ind w:left="3780" w:leftChars="0" w:hanging="420" w:firstLineChars="0"/>
      </w:pPr>
      <w:rPr>
        <w:rFonts w:hint="default" w:ascii="微软雅黑" w:hAnsi="微软雅黑"/>
      </w:rPr>
    </w:lvl>
    <w:lvl w:ilvl="8" w:tentative="0">
      <w:start w:val="1"/>
      <w:numFmt w:val="bullet"/>
      <w:lvlText w:val=""/>
      <w:lvlJc w:val="left"/>
      <w:pPr>
        <w:tabs>
          <w:tab w:val="left" w:pos="3780"/>
        </w:tabs>
        <w:ind w:left="4200" w:leftChars="0" w:hanging="420" w:firstLineChars="0"/>
      </w:pPr>
      <w:rPr>
        <w:rFonts w:hint="default" w:ascii="微软雅黑" w:hAnsi="微软雅黑"/>
      </w:rPr>
    </w:lvl>
  </w:abstractNum>
  <w:abstractNum w:abstractNumId="4">
    <w:nsid w:val="30DD4F93"/>
    <w:multiLevelType w:val="multilevel"/>
    <w:tmpl w:val="30DD4F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36B7086"/>
    <w:multiLevelType w:val="multilevel"/>
    <w:tmpl w:val="536B7086"/>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41B4960"/>
    <w:multiLevelType w:val="multilevel"/>
    <w:tmpl w:val="541B4960"/>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2"/>
  </w:num>
  <w:num w:numId="4">
    <w:abstractNumId w:val="4"/>
  </w:num>
  <w:num w:numId="5">
    <w:abstractNumId w:val="5"/>
  </w:num>
  <w:num w:numId="6">
    <w:abstractNumId w:val="0"/>
  </w:num>
  <w:num w:numId="7">
    <w:abstractNumId w:val="1"/>
  </w:num>
  <w:num w:numId="8">
    <w:abstractNumId w:val="7"/>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F1C3E"/>
    <w:rsid w:val="03B046EF"/>
    <w:rsid w:val="046C55D3"/>
    <w:rsid w:val="07CD3CDD"/>
    <w:rsid w:val="0855671D"/>
    <w:rsid w:val="089C77F9"/>
    <w:rsid w:val="09716BCA"/>
    <w:rsid w:val="09E644B8"/>
    <w:rsid w:val="0FE803BE"/>
    <w:rsid w:val="134B1636"/>
    <w:rsid w:val="13CC6F4E"/>
    <w:rsid w:val="163C3EB1"/>
    <w:rsid w:val="180A6E32"/>
    <w:rsid w:val="18CD0507"/>
    <w:rsid w:val="1A7C6938"/>
    <w:rsid w:val="1CBA2101"/>
    <w:rsid w:val="1CE12F9A"/>
    <w:rsid w:val="1D223E0B"/>
    <w:rsid w:val="1E8729C0"/>
    <w:rsid w:val="1ECC1E3C"/>
    <w:rsid w:val="21F13629"/>
    <w:rsid w:val="24122135"/>
    <w:rsid w:val="24D06DEC"/>
    <w:rsid w:val="250B1D26"/>
    <w:rsid w:val="25E108FC"/>
    <w:rsid w:val="26B6010F"/>
    <w:rsid w:val="26BB1419"/>
    <w:rsid w:val="288378CA"/>
    <w:rsid w:val="2B0847D2"/>
    <w:rsid w:val="30031508"/>
    <w:rsid w:val="305E78DB"/>
    <w:rsid w:val="31B14C9E"/>
    <w:rsid w:val="342B6BAA"/>
    <w:rsid w:val="35B06C6A"/>
    <w:rsid w:val="36D37423"/>
    <w:rsid w:val="37BC0E00"/>
    <w:rsid w:val="38776496"/>
    <w:rsid w:val="38D27DE3"/>
    <w:rsid w:val="3A706D23"/>
    <w:rsid w:val="3B502BB3"/>
    <w:rsid w:val="3B9A1F29"/>
    <w:rsid w:val="3CB529ED"/>
    <w:rsid w:val="3CE4646B"/>
    <w:rsid w:val="3D5E7AA8"/>
    <w:rsid w:val="3D6F2596"/>
    <w:rsid w:val="3E030137"/>
    <w:rsid w:val="40C765F3"/>
    <w:rsid w:val="40EB7BD7"/>
    <w:rsid w:val="42C777C1"/>
    <w:rsid w:val="4526176B"/>
    <w:rsid w:val="45F60A50"/>
    <w:rsid w:val="47293E34"/>
    <w:rsid w:val="486C0C7F"/>
    <w:rsid w:val="4C1C63D6"/>
    <w:rsid w:val="4C2516E0"/>
    <w:rsid w:val="4E804C90"/>
    <w:rsid w:val="4ECB234E"/>
    <w:rsid w:val="501A6C55"/>
    <w:rsid w:val="51B14BED"/>
    <w:rsid w:val="559D1553"/>
    <w:rsid w:val="55B1164D"/>
    <w:rsid w:val="562D1E1E"/>
    <w:rsid w:val="56371459"/>
    <w:rsid w:val="571D6FB3"/>
    <w:rsid w:val="5A08524C"/>
    <w:rsid w:val="5A241EDF"/>
    <w:rsid w:val="5BC1326E"/>
    <w:rsid w:val="5BC73810"/>
    <w:rsid w:val="5C6C0AC6"/>
    <w:rsid w:val="5CAE703E"/>
    <w:rsid w:val="5D1A1DC7"/>
    <w:rsid w:val="5E14214E"/>
    <w:rsid w:val="5EB44FC0"/>
    <w:rsid w:val="5EF51033"/>
    <w:rsid w:val="5F2567F5"/>
    <w:rsid w:val="62933EAA"/>
    <w:rsid w:val="676D2EC1"/>
    <w:rsid w:val="67A858DB"/>
    <w:rsid w:val="6945765B"/>
    <w:rsid w:val="6B99781E"/>
    <w:rsid w:val="6DB04EF1"/>
    <w:rsid w:val="6DDE3DAF"/>
    <w:rsid w:val="6E6C5051"/>
    <w:rsid w:val="7040331B"/>
    <w:rsid w:val="715F4C2D"/>
    <w:rsid w:val="75C759C1"/>
    <w:rsid w:val="769A7444"/>
    <w:rsid w:val="772E5E06"/>
    <w:rsid w:val="77C067C3"/>
    <w:rsid w:val="78911E31"/>
    <w:rsid w:val="7A9367CB"/>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5"/>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8"/>
    <w:qFormat/>
    <w:uiPriority w:val="0"/>
    <w:rPr>
      <w:b/>
    </w:rPr>
  </w:style>
  <w:style w:type="paragraph" w:customStyle="1" w:styleId="34">
    <w:name w:val="TAC"/>
    <w:basedOn w:val="1"/>
    <w:link w:val="37"/>
    <w:qFormat/>
    <w:uiPriority w:val="0"/>
    <w:pPr>
      <w:keepNext/>
      <w:keepLines/>
      <w:jc w:val="center"/>
    </w:pPr>
    <w:rPr>
      <w:rFonts w:ascii="Arial" w:hAnsi="Arial" w:eastAsia="宋体"/>
      <w:sz w:val="18"/>
      <w:szCs w:val="20"/>
      <w:lang w:val="en-GB" w:eastAsia="zh-CN"/>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4"/>
    <w:qFormat/>
    <w:uiPriority w:val="0"/>
    <w:rPr>
      <w:rFonts w:ascii="Arial" w:hAnsi="Arial" w:eastAsia="宋体"/>
      <w:sz w:val="18"/>
      <w:lang w:val="en-GB" w:eastAsia="zh-CN"/>
    </w:rPr>
  </w:style>
  <w:style w:type="character" w:customStyle="1" w:styleId="38">
    <w:name w:val="TAH Car"/>
    <w:link w:val="33"/>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8"/>
    <w:qFormat/>
    <w:uiPriority w:val="34"/>
    <w:rPr>
      <w:kern w:val="2"/>
      <w:sz w:val="21"/>
      <w:szCs w:val="22"/>
    </w:rPr>
  </w:style>
  <w:style w:type="character" w:customStyle="1" w:styleId="44">
    <w:name w:val="ZGSM"/>
    <w:qFormat/>
    <w:uiPriority w:val="0"/>
  </w:style>
  <w:style w:type="character" w:customStyle="1" w:styleId="45">
    <w:name w:val="Date Char"/>
    <w:link w:val="12"/>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7">
    <w:name w:val="TAL"/>
    <w:basedOn w:val="1"/>
    <w:link w:val="48"/>
    <w:qFormat/>
    <w:uiPriority w:val="0"/>
    <w:pPr>
      <w:keepNext/>
      <w:keepLines/>
    </w:pPr>
    <w:rPr>
      <w:rFonts w:ascii="Arial" w:hAnsi="Arial" w:eastAsia="宋体"/>
      <w:sz w:val="18"/>
      <w:szCs w:val="20"/>
      <w:lang w:val="en-GB"/>
    </w:rPr>
  </w:style>
  <w:style w:type="character" w:customStyle="1" w:styleId="48">
    <w:name w:val="TAL Char"/>
    <w:link w:val="47"/>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2022-01-10T02:39:20Z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